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  <w:rPr>
          <w:rFonts w:ascii="Arial" w:hAnsi="Arial" w:eastAsia="宋体" w:cs="Arial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adjustRightInd w:val="0"/>
        <w:snapToGrid w:val="0"/>
        <w:ind w:firstLine="609" w:firstLineChars="49"/>
        <w:jc w:val="center"/>
        <w:rPr>
          <w:rFonts w:ascii="宋体" w:hAnsi="宋体"/>
          <w:b/>
          <w:color w:val="FF0000"/>
          <w:spacing w:val="200"/>
          <w:sz w:val="84"/>
          <w:szCs w:val="84"/>
        </w:rPr>
      </w:pPr>
      <w:r>
        <w:rPr>
          <w:rFonts w:hint="eastAsia" w:ascii="宋体" w:hAnsi="宋体"/>
          <w:b/>
          <w:color w:val="FF0000"/>
          <w:spacing w:val="200"/>
          <w:sz w:val="84"/>
          <w:szCs w:val="84"/>
        </w:rPr>
        <w:t>深圳工业总会</w:t>
      </w:r>
    </w:p>
    <w:p>
      <w:pPr>
        <w:adjustRightInd w:val="0"/>
        <w:snapToGrid w:val="0"/>
        <w:spacing w:line="600" w:lineRule="exact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87630</wp:posOffset>
                </wp:positionV>
                <wp:extent cx="54864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.75pt;margin-top:6.9pt;height:0pt;width:432pt;z-index:251658240;mso-width-relative:page;mso-height-relative:page;" filled="f" stroked="t" coordsize="21600,21600" o:gfxdata="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IPIxtHVAAAABwEAAA8A&#10;AAAAAAAAAQAgAAAAIgAAAGRycy9kb3ducmV2LnhtbFBLAQIUABQAAAAIAIdO4kCauShl4QEAAKUD&#10;AAAOAAAAAAAAAAEAIAAAACQBAABkcnMvZTJvRG9jLnhtbFBLBQYAAAAABgAGAFkBAAB3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9"/>
        <w:spacing w:before="156" w:after="156" w:line="560" w:lineRule="atLeast"/>
        <w:jc w:val="right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仿宋_GB2312" w:eastAsia="仿宋_GB2312"/>
        </w:rPr>
        <w:t>深工总函[201</w:t>
      </w:r>
      <w:r>
        <w:rPr>
          <w:rFonts w:hint="eastAsia" w:ascii="仿宋_GB2312" w:eastAsia="仿宋_GB2312"/>
          <w:lang w:val="en-US" w:eastAsia="zh-CN"/>
        </w:rPr>
        <w:t>9</w:t>
      </w:r>
      <w:r>
        <w:rPr>
          <w:rFonts w:hint="eastAsia" w:ascii="仿宋_GB2312" w:eastAsia="仿宋_GB2312"/>
        </w:rPr>
        <w:t xml:space="preserve">] </w:t>
      </w:r>
      <w:r>
        <w:rPr>
          <w:rFonts w:hint="eastAsia" w:ascii="仿宋_GB2312" w:eastAsia="仿宋_GB2312"/>
          <w:lang w:val="en-US" w:eastAsia="zh-CN"/>
        </w:rPr>
        <w:t xml:space="preserve">50 </w:t>
      </w:r>
      <w:r>
        <w:rPr>
          <w:rFonts w:hint="eastAsia" w:ascii="仿宋_GB2312" w:eastAsia="仿宋_GB231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 w:val="0"/>
          <w:w w:val="95"/>
          <w:sz w:val="44"/>
          <w:szCs w:val="44"/>
        </w:rPr>
        <w:t>关于</w:t>
      </w:r>
      <w:r>
        <w:rPr>
          <w:rFonts w:hint="eastAsia" w:ascii="宋体" w:hAnsi="宋体" w:eastAsia="宋体" w:cs="宋体"/>
          <w:b/>
          <w:bCs w:val="0"/>
          <w:w w:val="95"/>
          <w:sz w:val="44"/>
          <w:szCs w:val="44"/>
          <w:lang w:eastAsia="zh-CN"/>
        </w:rPr>
        <w:t>邀请参加</w:t>
      </w:r>
      <w:r>
        <w:rPr>
          <w:rFonts w:hint="eastAsia" w:ascii="宋体" w:hAnsi="宋体" w:eastAsia="宋体" w:cs="宋体"/>
          <w:b/>
          <w:bCs w:val="0"/>
          <w:w w:val="95"/>
          <w:sz w:val="44"/>
          <w:szCs w:val="44"/>
          <w:lang w:val="en-US" w:eastAsia="zh-CN"/>
        </w:rPr>
        <w:t>2019年度</w:t>
      </w:r>
      <w:r>
        <w:rPr>
          <w:rFonts w:hint="eastAsia" w:ascii="宋体" w:hAnsi="宋体" w:eastAsia="宋体" w:cs="宋体"/>
          <w:b/>
          <w:bCs w:val="0"/>
          <w:w w:val="95"/>
          <w:sz w:val="44"/>
          <w:szCs w:val="44"/>
          <w:highlight w:val="none"/>
          <w:lang w:val="en-US" w:eastAsia="zh-CN"/>
        </w:rPr>
        <w:t>减税降费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宣讲会</w:t>
      </w:r>
      <w:r>
        <w:rPr>
          <w:rFonts w:hint="eastAsia" w:ascii="宋体" w:hAnsi="宋体" w:eastAsia="宋体" w:cs="宋体"/>
          <w:b/>
          <w:bCs w:val="0"/>
          <w:spacing w:val="0"/>
          <w:sz w:val="44"/>
          <w:szCs w:val="44"/>
        </w:rPr>
        <w:t>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尊敬的会员企业领导：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为贯彻落实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中央出台的系列减税降费政策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，帮助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及时掌握相关政策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内容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减税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红利精准发放给每位纳税人，国家税务总局深圳市税务局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深圳工业总会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将于本月23日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联合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主办“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减税降费政策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宣讲会”，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国家税务总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局深圳市税务局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有关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业务专家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围绕国家出台的一系列减税政策措施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宣讲，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包括深化增值税改革相关政策、小型微利企业所得税减免、研发费用加计扣除、固定资产一次性扣除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等政策进行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详细解读，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帮助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企业财务人员掌握最新政策并熟悉实务操作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确保国家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减税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政策落到实处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为此特邀请您拨冗参会。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现将有关会议内容通知如下：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时间：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2019年4月23日（星期二）14:30-16:50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　　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</w:rPr>
        <w:t>-14：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20签</w:t>
      </w:r>
      <w:r>
        <w:rPr>
          <w:rFonts w:hint="eastAsia" w:ascii="仿宋_GB2312" w:hAnsi="仿宋_GB2312" w:eastAsia="仿宋_GB2312" w:cs="仿宋_GB2312"/>
          <w:sz w:val="32"/>
          <w:szCs w:val="32"/>
        </w:rPr>
        <w:t>到）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地点：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福田区福田路26号新星大厦二楼礼堂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 w:firstLine="1280" w:firstLineChars="4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（国家税务总局深圳市税务局福田办公区）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仿宋_GB2312"/>
          <w:b w:val="0"/>
          <w:bCs w:val="0"/>
          <w:sz w:val="32"/>
          <w:szCs w:val="32"/>
          <w:highlight w:val="none"/>
        </w:rPr>
        <w:t>三、主题：</w:t>
      </w: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highlight w:val="none"/>
          <w:lang w:val="en-US" w:eastAsia="zh-CN"/>
        </w:rPr>
        <w:t>减税降费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政策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宣讲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b w:val="0"/>
          <w:bCs w:val="0"/>
          <w:sz w:val="32"/>
          <w:szCs w:val="32"/>
        </w:rPr>
        <w:t>四、参加对象：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企业高层及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财务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负责人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仿宋_GB2312"/>
          <w:b w:val="0"/>
          <w:bCs w:val="0"/>
          <w:sz w:val="32"/>
          <w:szCs w:val="32"/>
          <w:shd w:val="clear" w:color="auto" w:fill="FFFFFF"/>
        </w:rPr>
        <w:t>五、活动费用：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免费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参会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六、活动议程：</w:t>
      </w:r>
    </w:p>
    <w:tbl>
      <w:tblPr>
        <w:tblStyle w:val="6"/>
        <w:tblW w:w="9795" w:type="dxa"/>
        <w:jc w:val="center"/>
        <w:tblInd w:w="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8"/>
        <w:gridCol w:w="7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仿宋_GB2312"/>
                <w:b/>
                <w:bCs/>
                <w:sz w:val="30"/>
                <w:szCs w:val="30"/>
              </w:rPr>
              <w:t>时  间</w:t>
            </w:r>
          </w:p>
        </w:tc>
        <w:tc>
          <w:tcPr>
            <w:tcW w:w="76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仿宋_GB2312"/>
                <w:b/>
                <w:bCs/>
                <w:sz w:val="30"/>
                <w:szCs w:val="30"/>
              </w:rPr>
              <w:t>议      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0-14: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0</w:t>
            </w:r>
          </w:p>
        </w:tc>
        <w:tc>
          <w:tcPr>
            <w:tcW w:w="76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会议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签到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14: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-1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50</w:t>
            </w:r>
          </w:p>
        </w:tc>
        <w:tc>
          <w:tcPr>
            <w:tcW w:w="76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主持人开场：深圳工业总会执行主席吴丽女士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领导致辞：国家税务总局深圳市税务局党委委员、总审计师李显著先生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14: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76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专题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宣讲一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：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深化</w:t>
            </w: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32"/>
                <w:szCs w:val="32"/>
                <w:highlight w:val="none"/>
                <w:lang w:val="en-US" w:eastAsia="zh-CN"/>
              </w:rPr>
              <w:t>增值税改革政策宣讲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280" w:right="0" w:rightChars="0" w:hanging="1280" w:hangingChars="4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宣讲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人：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国家税务总局深圳市税务局货物和劳务税处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业务骨干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专题演讲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企业所得税减税政策宣讲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1" w:leftChars="-66" w:right="0" w:rightChars="0" w:hanging="1200" w:hangingChars="4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宣讲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人：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国家税务总局深圳市税务局企业所得税处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业务骨干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50</w:t>
            </w:r>
          </w:p>
        </w:tc>
        <w:tc>
          <w:tcPr>
            <w:tcW w:w="76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现场提问交流环节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七、报名事项：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请于4月19日17：00前将参会回执邮件回复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instrText xml:space="preserve"> HYPERLINK "mailto:1492482761@qq.com" </w:instrTex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2575804910@qq.com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  <w:shd w:val="clear" w:color="auto" w:fill="FFFFFF"/>
        </w:rPr>
        <w:t>会场坐席有限，</w:t>
      </w: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  <w:shd w:val="clear" w:color="auto" w:fill="FFFFFF"/>
          <w:lang w:eastAsia="zh-CN"/>
        </w:rPr>
        <w:t>报满即止</w:t>
      </w: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  <w:shd w:val="clear" w:color="auto" w:fill="FFFFFF"/>
        </w:rPr>
        <w:t>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联系人及联系方式：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罗琪琳：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83688761  13670043700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杨元武：83505139　13632536531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郑英浩：83752424  13670290012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郑小莹：83678740  13602589393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附  件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参会回执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1920" w:firstLineChars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交通指引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328" w:firstLineChars="415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深圳工业总会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328" w:firstLineChars="415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40" w:lineRule="exact"/>
        <w:ind w:right="0" w:rightChars="0"/>
        <w:jc w:val="left"/>
        <w:textAlignment w:val="auto"/>
        <w:outlineLvl w:val="9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附件1：</w:t>
      </w:r>
    </w:p>
    <w:p>
      <w:pPr>
        <w:spacing w:line="540" w:lineRule="exact"/>
        <w:rPr>
          <w:rFonts w:ascii="宋体" w:hAnsi="宋体" w:cs="宋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 w:val="0"/>
          <w:w w:val="95"/>
          <w:sz w:val="44"/>
          <w:szCs w:val="44"/>
          <w:highlight w:val="none"/>
          <w:lang w:val="en-US" w:eastAsia="zh-CN"/>
        </w:rPr>
        <w:t>“减税降费</w:t>
      </w:r>
      <w:r>
        <w:rPr>
          <w:rFonts w:hint="eastAsia" w:ascii="宋体" w:hAnsi="宋体" w:eastAsia="宋体" w:cs="宋体"/>
          <w:b/>
          <w:bCs w:val="0"/>
          <w:sz w:val="44"/>
          <w:szCs w:val="44"/>
          <w:highlight w:val="none"/>
          <w:lang w:eastAsia="zh-CN"/>
        </w:rPr>
        <w:t>政策</w:t>
      </w:r>
      <w:r>
        <w:rPr>
          <w:rFonts w:hint="eastAsia" w:ascii="宋体" w:hAnsi="宋体" w:eastAsia="宋体" w:cs="宋体"/>
          <w:b/>
          <w:bCs w:val="0"/>
          <w:sz w:val="44"/>
          <w:szCs w:val="44"/>
          <w:highlight w:val="none"/>
        </w:rPr>
        <w:t>宣讲</w:t>
      </w:r>
      <w:r>
        <w:rPr>
          <w:rFonts w:hint="eastAsia" w:ascii="宋体" w:hAnsi="宋体" w:eastAsia="宋体" w:cs="宋体"/>
          <w:b/>
          <w:bCs w:val="0"/>
          <w:sz w:val="44"/>
          <w:szCs w:val="44"/>
          <w:highlight w:val="none"/>
          <w:lang w:eastAsia="zh-CN"/>
        </w:rPr>
        <w:t>”政策</w:t>
      </w:r>
      <w:r>
        <w:rPr>
          <w:rFonts w:hint="eastAsia" w:ascii="宋体" w:hAnsi="宋体" w:eastAsia="宋体" w:cs="宋体"/>
          <w:b/>
          <w:bCs w:val="0"/>
          <w:sz w:val="44"/>
          <w:szCs w:val="44"/>
          <w:highlight w:val="none"/>
        </w:rPr>
        <w:t>宣讲会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spacing w:val="-11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 w:val="0"/>
          <w:spacing w:val="-11"/>
          <w:sz w:val="44"/>
          <w:szCs w:val="44"/>
          <w:highlight w:val="none"/>
        </w:rPr>
        <w:t>报名回执</w:t>
      </w:r>
    </w:p>
    <w:p>
      <w:pPr>
        <w:spacing w:line="540" w:lineRule="exact"/>
        <w:jc w:val="center"/>
        <w:rPr>
          <w:rFonts w:ascii="宋体" w:hAnsi="宋体" w:cs="宋体"/>
          <w:b/>
          <w:bCs/>
          <w:spacing w:val="-11"/>
          <w:sz w:val="40"/>
          <w:szCs w:val="40"/>
        </w:rPr>
      </w:pPr>
    </w:p>
    <w:tbl>
      <w:tblPr>
        <w:tblStyle w:val="6"/>
        <w:tblW w:w="9258" w:type="dxa"/>
        <w:jc w:val="center"/>
        <w:tblInd w:w="-3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1506"/>
        <w:gridCol w:w="1590"/>
        <w:gridCol w:w="2162"/>
        <w:gridCol w:w="2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9" w:hRule="atLeast"/>
          <w:jc w:val="center"/>
        </w:trPr>
        <w:tc>
          <w:tcPr>
            <w:tcW w:w="1813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7445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813" w:type="dxa"/>
            <w:vAlign w:val="center"/>
          </w:tcPr>
          <w:p>
            <w:pPr>
              <w:spacing w:line="540" w:lineRule="exact"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参会姓名</w:t>
            </w:r>
          </w:p>
        </w:tc>
        <w:tc>
          <w:tcPr>
            <w:tcW w:w="1506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职  务</w:t>
            </w:r>
          </w:p>
        </w:tc>
        <w:tc>
          <w:tcPr>
            <w:tcW w:w="1590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微信号</w:t>
            </w:r>
          </w:p>
        </w:tc>
        <w:tc>
          <w:tcPr>
            <w:tcW w:w="2162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手  机</w:t>
            </w:r>
          </w:p>
        </w:tc>
        <w:tc>
          <w:tcPr>
            <w:tcW w:w="2187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邮 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813" w:type="dxa"/>
            <w:vAlign w:val="top"/>
          </w:tcPr>
          <w:p>
            <w:pPr>
              <w:spacing w:line="540" w:lineRule="exact"/>
              <w:rPr>
                <w:rFonts w:eastAsia="仿宋_GB2312"/>
                <w:sz w:val="30"/>
                <w:szCs w:val="30"/>
              </w:rPr>
            </w:pPr>
          </w:p>
          <w:p>
            <w:pPr>
              <w:spacing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06" w:type="dxa"/>
            <w:vAlign w:val="top"/>
          </w:tcPr>
          <w:p>
            <w:pPr>
              <w:spacing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90" w:type="dxa"/>
            <w:vAlign w:val="top"/>
          </w:tcPr>
          <w:p>
            <w:pPr>
              <w:spacing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162" w:type="dxa"/>
            <w:vAlign w:val="top"/>
          </w:tcPr>
          <w:p>
            <w:pPr>
              <w:spacing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187" w:type="dxa"/>
            <w:vAlign w:val="top"/>
          </w:tcPr>
          <w:p>
            <w:pPr>
              <w:spacing w:line="540" w:lineRule="exact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  <w:jc w:val="center"/>
        </w:trPr>
        <w:tc>
          <w:tcPr>
            <w:tcW w:w="1813" w:type="dxa"/>
            <w:vAlign w:val="top"/>
          </w:tcPr>
          <w:p>
            <w:pPr>
              <w:spacing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06" w:type="dxa"/>
            <w:vAlign w:val="top"/>
          </w:tcPr>
          <w:p>
            <w:pPr>
              <w:spacing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90" w:type="dxa"/>
            <w:vAlign w:val="top"/>
          </w:tcPr>
          <w:p>
            <w:pPr>
              <w:spacing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162" w:type="dxa"/>
            <w:vAlign w:val="top"/>
          </w:tcPr>
          <w:p>
            <w:pPr>
              <w:spacing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187" w:type="dxa"/>
            <w:vAlign w:val="top"/>
          </w:tcPr>
          <w:p>
            <w:pPr>
              <w:spacing w:line="540" w:lineRule="exact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9258" w:type="dxa"/>
            <w:gridSpan w:val="5"/>
            <w:vAlign w:val="top"/>
          </w:tcPr>
          <w:p>
            <w:pPr>
              <w:spacing w:line="54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企业需了解的相关政策问题（便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于现场做解读交流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7" w:hRule="atLeast"/>
          <w:jc w:val="center"/>
        </w:trPr>
        <w:tc>
          <w:tcPr>
            <w:tcW w:w="9258" w:type="dxa"/>
            <w:gridSpan w:val="5"/>
            <w:vAlign w:val="top"/>
          </w:tcPr>
          <w:p>
            <w:pPr>
              <w:spacing w:line="540" w:lineRule="exact"/>
              <w:rPr>
                <w:rFonts w:eastAsia="仿宋_GB2312"/>
                <w:sz w:val="30"/>
                <w:szCs w:val="30"/>
              </w:rPr>
            </w:pPr>
          </w:p>
          <w:p>
            <w:pPr>
              <w:spacing w:line="540" w:lineRule="exact"/>
              <w:rPr>
                <w:rFonts w:eastAsia="仿宋_GB2312"/>
                <w:sz w:val="30"/>
                <w:szCs w:val="30"/>
              </w:rPr>
            </w:pPr>
          </w:p>
          <w:p>
            <w:pPr>
              <w:spacing w:line="540" w:lineRule="exact"/>
              <w:rPr>
                <w:rFonts w:eastAsia="仿宋_GB2312"/>
                <w:sz w:val="30"/>
                <w:szCs w:val="30"/>
              </w:rPr>
            </w:pPr>
          </w:p>
        </w:tc>
      </w:tr>
    </w:tbl>
    <w:p>
      <w:pPr>
        <w:spacing w:line="540" w:lineRule="exac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请将回执于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日17：00前传邮件回复至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2575804910@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qq.com</w:t>
      </w:r>
    </w:p>
    <w:p>
      <w:pPr>
        <w:tabs>
          <w:tab w:val="left" w:pos="1701"/>
        </w:tabs>
        <w:spacing w:line="36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bookmarkStart w:id="0" w:name="_GoBack"/>
      <w:bookmarkEnd w:id="0"/>
    </w:p>
    <w:p>
      <w:pPr>
        <w:tabs>
          <w:tab w:val="left" w:pos="1701"/>
        </w:tabs>
        <w:spacing w:line="36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tabs>
          <w:tab w:val="left" w:pos="1701"/>
        </w:tabs>
        <w:spacing w:line="36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tabs>
          <w:tab w:val="left" w:pos="1701"/>
        </w:tabs>
        <w:spacing w:line="36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tabs>
          <w:tab w:val="left" w:pos="1701"/>
        </w:tabs>
        <w:spacing w:line="36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：</w:t>
      </w:r>
    </w:p>
    <w:p>
      <w:pPr>
        <w:tabs>
          <w:tab w:val="left" w:pos="1701"/>
        </w:tabs>
        <w:spacing w:line="36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tabs>
          <w:tab w:val="left" w:pos="1701"/>
        </w:tabs>
        <w:spacing w:line="360" w:lineRule="auto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交通指引</w:t>
      </w:r>
    </w:p>
    <w:p>
      <w:pPr>
        <w:tabs>
          <w:tab w:val="left" w:pos="1701"/>
        </w:tabs>
        <w:spacing w:line="360" w:lineRule="auto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</w:pPr>
    </w:p>
    <w:p>
      <w:pPr>
        <w:tabs>
          <w:tab w:val="left" w:pos="1701"/>
        </w:tabs>
        <w:spacing w:line="360" w:lineRule="auto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地铁线路：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7号线华强南D出口，步行1公里，</w:t>
      </w:r>
    </w:p>
    <w:p>
      <w:pPr>
        <w:tabs>
          <w:tab w:val="left" w:pos="1701"/>
        </w:tabs>
        <w:spacing w:line="360" w:lineRule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公交线路：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福田南、公汽大楼、福星路口</w:t>
      </w:r>
    </w:p>
    <w:p>
      <w:pPr>
        <w:tabs>
          <w:tab w:val="left" w:pos="1701"/>
        </w:tabs>
        <w:spacing w:line="360" w:lineRule="auto"/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red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red"/>
          <w:lang w:val="en-US" w:eastAsia="zh-CN" w:bidi="ar-SA"/>
        </w:rPr>
        <w:t>场内无停车位</w:t>
      </w:r>
    </w:p>
    <w:p>
      <w:pPr>
        <w:tabs>
          <w:tab w:val="left" w:pos="1701"/>
        </w:tabs>
        <w:spacing w:line="360" w:lineRule="auto"/>
        <w:jc w:val="left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drawing>
          <wp:inline distT="0" distB="0" distL="114300" distR="114300">
            <wp:extent cx="5406390" cy="3951605"/>
            <wp:effectExtent l="0" t="0" r="3810" b="10795"/>
            <wp:docPr id="5" name="图片 5" descr="155488858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54888585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6390" cy="395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spacing w:line="240" w:lineRule="auto"/>
        <w:ind w:firstLine="1328" w:firstLineChars="415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AE19C3"/>
    <w:multiLevelType w:val="singleLevel"/>
    <w:tmpl w:val="D4AE19C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C76FB"/>
    <w:rsid w:val="00A02E30"/>
    <w:rsid w:val="01450A60"/>
    <w:rsid w:val="05F4030F"/>
    <w:rsid w:val="0A375A88"/>
    <w:rsid w:val="117241C9"/>
    <w:rsid w:val="119F605A"/>
    <w:rsid w:val="12BA2CF0"/>
    <w:rsid w:val="13735237"/>
    <w:rsid w:val="16E92BB5"/>
    <w:rsid w:val="17845D21"/>
    <w:rsid w:val="185F414C"/>
    <w:rsid w:val="18813A37"/>
    <w:rsid w:val="18903FF6"/>
    <w:rsid w:val="1A604CFA"/>
    <w:rsid w:val="1B04053B"/>
    <w:rsid w:val="1E941ABC"/>
    <w:rsid w:val="21FB113D"/>
    <w:rsid w:val="282C5FF1"/>
    <w:rsid w:val="290F4839"/>
    <w:rsid w:val="29E27C1F"/>
    <w:rsid w:val="2A432BCD"/>
    <w:rsid w:val="2C741E29"/>
    <w:rsid w:val="2F0540E5"/>
    <w:rsid w:val="2F7F03E4"/>
    <w:rsid w:val="33347067"/>
    <w:rsid w:val="349672BA"/>
    <w:rsid w:val="369D3B67"/>
    <w:rsid w:val="36A26177"/>
    <w:rsid w:val="36F47CCF"/>
    <w:rsid w:val="3A617361"/>
    <w:rsid w:val="3C664302"/>
    <w:rsid w:val="3D117BFA"/>
    <w:rsid w:val="40321FD7"/>
    <w:rsid w:val="40D832C7"/>
    <w:rsid w:val="42787D29"/>
    <w:rsid w:val="49063978"/>
    <w:rsid w:val="4C045290"/>
    <w:rsid w:val="4D9B6A9D"/>
    <w:rsid w:val="4DF51B78"/>
    <w:rsid w:val="4EA41F60"/>
    <w:rsid w:val="51C57DDB"/>
    <w:rsid w:val="527F547C"/>
    <w:rsid w:val="57DE0D0D"/>
    <w:rsid w:val="58106051"/>
    <w:rsid w:val="58CC76FB"/>
    <w:rsid w:val="59DB10F0"/>
    <w:rsid w:val="5A1F6852"/>
    <w:rsid w:val="5A891365"/>
    <w:rsid w:val="5B2C7534"/>
    <w:rsid w:val="5F5532DB"/>
    <w:rsid w:val="60320ABE"/>
    <w:rsid w:val="643075F7"/>
    <w:rsid w:val="6E6F3503"/>
    <w:rsid w:val="6FA505D2"/>
    <w:rsid w:val="70B12466"/>
    <w:rsid w:val="73CD301F"/>
    <w:rsid w:val="76556011"/>
    <w:rsid w:val="767D248D"/>
    <w:rsid w:val="770764A7"/>
    <w:rsid w:val="79C74C4C"/>
    <w:rsid w:val="7FD4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eastAsia="仿宋_GB2312"/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666666"/>
      <w:u w:val="none"/>
    </w:rPr>
  </w:style>
  <w:style w:type="paragraph" w:customStyle="1" w:styleId="9">
    <w:name w:val="p15"/>
    <w:basedOn w:val="1"/>
    <w:qFormat/>
    <w:uiPriority w:val="0"/>
    <w:pPr>
      <w:widowControl/>
      <w:jc w:val="center"/>
    </w:pPr>
    <w:rPr>
      <w:kern w:val="0"/>
      <w:sz w:val="32"/>
      <w:szCs w:val="32"/>
    </w:rPr>
  </w:style>
  <w:style w:type="paragraph" w:customStyle="1" w:styleId="10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2018-12-14T08:14:00Z</dcterms:created>
  <dc:creator>郑英浩</dc:creator>
  <cp:lastModifiedBy>工总罗琪琳</cp:lastModifiedBy>
  <dcterms:modified xsi:type="dcterms:W3CDTF">2019-04-15T03:38:29Z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